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567C" w14:textId="7505353E" w:rsidR="00B43754" w:rsidRPr="00306803" w:rsidRDefault="005A730A">
      <w:pPr>
        <w:pStyle w:val="Heading1"/>
        <w:rPr>
          <w:rFonts w:ascii="Arial" w:eastAsia="Arial" w:hAnsi="Arial" w:cs="Arial"/>
          <w:b/>
          <w:color w:val="000000"/>
          <w:sz w:val="28"/>
          <w:szCs w:val="28"/>
          <w:u w:val="single"/>
          <w:lang w:val="fr-FR"/>
        </w:rPr>
      </w:pPr>
      <w:r w:rsidRPr="00306803">
        <w:rPr>
          <w:rFonts w:ascii="Arial" w:eastAsia="Arial" w:hAnsi="Arial" w:cs="Arial"/>
          <w:b/>
          <w:color w:val="000000"/>
          <w:sz w:val="28"/>
          <w:szCs w:val="28"/>
          <w:u w:val="single"/>
          <w:lang w:val="fr-FR"/>
        </w:rPr>
        <w:t xml:space="preserve">Pour diffusion </w:t>
      </w:r>
      <w:r w:rsidR="006021C9" w:rsidRPr="00306803">
        <w:rPr>
          <w:rFonts w:ascii="Arial" w:eastAsia="Arial" w:hAnsi="Arial" w:cs="Arial"/>
          <w:b/>
          <w:color w:val="000000"/>
          <w:sz w:val="28"/>
          <w:szCs w:val="28"/>
          <w:u w:val="single"/>
          <w:lang w:val="fr-FR"/>
        </w:rPr>
        <w:t>immédiate</w:t>
      </w:r>
    </w:p>
    <w:p w14:paraId="4EBC1CA5" w14:textId="77777777" w:rsidR="00FE600A" w:rsidRPr="00306803" w:rsidRDefault="00FE600A">
      <w:pPr>
        <w:rPr>
          <w:rFonts w:ascii="Arial" w:eastAsia="Arial" w:hAnsi="Arial" w:cs="Arial"/>
          <w:b/>
          <w:color w:val="000000"/>
          <w:sz w:val="32"/>
          <w:szCs w:val="32"/>
          <w:lang w:val="fr-FR"/>
        </w:rPr>
      </w:pPr>
    </w:p>
    <w:p w14:paraId="23294002" w14:textId="302D79D2" w:rsidR="00FE600A" w:rsidRDefault="00394251" w:rsidP="005A730A">
      <w:pPr>
        <w:rPr>
          <w:rFonts w:ascii="Arial" w:eastAsia="Arial" w:hAnsi="Arial" w:cs="Arial"/>
          <w:b/>
          <w:color w:val="000000"/>
          <w:sz w:val="32"/>
          <w:szCs w:val="32"/>
          <w:lang w:val="fr-FR"/>
        </w:rPr>
      </w:pPr>
      <w:bookmarkStart w:id="0" w:name="_GoBack"/>
      <w:r w:rsidRPr="005A730A">
        <w:rPr>
          <w:rFonts w:ascii="Arial" w:eastAsia="Arial" w:hAnsi="Arial" w:cs="Arial"/>
          <w:b/>
          <w:color w:val="000000"/>
          <w:sz w:val="32"/>
          <w:szCs w:val="32"/>
          <w:lang w:val="fr-FR"/>
        </w:rPr>
        <w:t xml:space="preserve">Comment </w:t>
      </w:r>
      <w:r>
        <w:rPr>
          <w:rFonts w:ascii="Arial" w:eastAsia="Arial" w:hAnsi="Arial" w:cs="Arial"/>
          <w:b/>
          <w:color w:val="000000"/>
          <w:sz w:val="32"/>
          <w:szCs w:val="32"/>
          <w:lang w:val="fr-FR"/>
        </w:rPr>
        <w:t>F</w:t>
      </w:r>
      <w:r w:rsidRPr="005A730A">
        <w:rPr>
          <w:rFonts w:ascii="Arial" w:eastAsia="Arial" w:hAnsi="Arial" w:cs="Arial"/>
          <w:b/>
          <w:color w:val="000000"/>
          <w:sz w:val="32"/>
          <w:szCs w:val="32"/>
          <w:lang w:val="fr-FR"/>
        </w:rPr>
        <w:t>ord protège votre carrosserie des excréments d’oiseaux</w:t>
      </w:r>
    </w:p>
    <w:bookmarkEnd w:id="0"/>
    <w:p w14:paraId="536650AC" w14:textId="77777777" w:rsidR="005A730A" w:rsidRDefault="005A730A" w:rsidP="005A730A">
      <w:pPr>
        <w:rPr>
          <w:rFonts w:ascii="Arial" w:eastAsia="Arial" w:hAnsi="Arial" w:cs="Arial"/>
          <w:b/>
          <w:color w:val="000000"/>
          <w:sz w:val="32"/>
          <w:szCs w:val="32"/>
          <w:lang w:val="fr-FR"/>
        </w:rPr>
      </w:pPr>
    </w:p>
    <w:p w14:paraId="063D30AC" w14:textId="77777777" w:rsidR="005A730A" w:rsidRPr="005A730A" w:rsidRDefault="005A730A">
      <w:pPr>
        <w:rPr>
          <w:lang w:val="fr-FR"/>
        </w:rPr>
      </w:pPr>
    </w:p>
    <w:p w14:paraId="124186C9" w14:textId="7D03938A" w:rsidR="00FE600A" w:rsidRDefault="005A730A" w:rsidP="00F500B7">
      <w:pPr>
        <w:pStyle w:val="ListParagraph"/>
        <w:numPr>
          <w:ilvl w:val="0"/>
          <w:numId w:val="2"/>
        </w:numPr>
        <w:spacing w:line="280" w:lineRule="exact"/>
        <w:jc w:val="both"/>
        <w:rPr>
          <w:rFonts w:asciiTheme="minorBidi" w:eastAsia="Arial" w:hAnsiTheme="minorBidi" w:cstheme="minorBidi"/>
          <w:lang w:val="fr-FR"/>
        </w:rPr>
      </w:pPr>
      <w:r w:rsidRPr="005A730A">
        <w:rPr>
          <w:rFonts w:asciiTheme="minorBidi" w:eastAsia="Arial" w:hAnsiTheme="minorBidi" w:cstheme="minorBidi"/>
          <w:lang w:val="fr-FR"/>
        </w:rPr>
        <w:t>Si le fait d'être touché par une crotte d'oiseau peut être un signe de bonne chance dans de nombreux pays, l'atterrissage d'une telle déjection sur votre voiture peut avoir des conséquences plus ennuyeuses, notamment pour votre peinture. Heureusement, les véhicules Ford sont testés pour cette éventualité, à l'aide d'excréments d'oiseaux artificiels.</w:t>
      </w:r>
    </w:p>
    <w:p w14:paraId="0D401F9B" w14:textId="5AB1D243" w:rsidR="00F7527E" w:rsidRPr="005A730A" w:rsidRDefault="00F7527E" w:rsidP="00F500B7">
      <w:pPr>
        <w:pStyle w:val="ListParagraph"/>
        <w:numPr>
          <w:ilvl w:val="0"/>
          <w:numId w:val="2"/>
        </w:numPr>
        <w:spacing w:line="280" w:lineRule="exact"/>
        <w:jc w:val="both"/>
        <w:rPr>
          <w:rFonts w:asciiTheme="minorBidi" w:eastAsia="Arial" w:hAnsiTheme="minorBidi" w:cstheme="minorBidi"/>
          <w:lang w:val="fr-FR"/>
        </w:rPr>
      </w:pPr>
      <w:r w:rsidRPr="00F7527E">
        <w:rPr>
          <w:rFonts w:asciiTheme="minorBidi" w:eastAsia="Arial" w:hAnsiTheme="minorBidi" w:cstheme="minorBidi"/>
          <w:lang w:val="fr-FR"/>
        </w:rPr>
        <w:t>Avec autant de voitures garées en ce moment alors que les gens restent à la maison, il est probable que les oiseaux laissent leurs marques de passage plus que d'habitude</w:t>
      </w:r>
      <w:r>
        <w:rPr>
          <w:rFonts w:asciiTheme="minorBidi" w:eastAsia="Arial" w:hAnsiTheme="minorBidi" w:cstheme="minorBidi"/>
          <w:lang w:val="fr-FR"/>
        </w:rPr>
        <w:t>.</w:t>
      </w:r>
    </w:p>
    <w:p w14:paraId="2C6F3133" w14:textId="77777777" w:rsidR="005A730A" w:rsidRPr="005A730A" w:rsidRDefault="005A730A" w:rsidP="00F500B7">
      <w:pPr>
        <w:spacing w:line="280" w:lineRule="exact"/>
        <w:jc w:val="both"/>
        <w:rPr>
          <w:rFonts w:asciiTheme="minorBidi" w:eastAsia="Arial" w:hAnsiTheme="minorBidi" w:cstheme="minorBidi"/>
          <w:b/>
          <w:lang w:val="fr-FR"/>
        </w:rPr>
      </w:pPr>
    </w:p>
    <w:p w14:paraId="44843DE7" w14:textId="089BB612" w:rsidR="005A730A" w:rsidRPr="005A730A" w:rsidRDefault="005A730A" w:rsidP="00F500B7">
      <w:pPr>
        <w:spacing w:line="280" w:lineRule="exact"/>
        <w:jc w:val="both"/>
        <w:rPr>
          <w:rFonts w:asciiTheme="minorBidi" w:eastAsia="Arial" w:hAnsiTheme="minorBidi" w:cstheme="minorBidi"/>
          <w:lang w:val="fr-FR"/>
        </w:rPr>
      </w:pPr>
      <w:r w:rsidRPr="005A730A">
        <w:rPr>
          <w:rFonts w:asciiTheme="minorBidi" w:eastAsia="Arial" w:hAnsiTheme="minorBidi" w:cstheme="minorBidi"/>
          <w:b/>
          <w:lang w:val="fr-FR"/>
        </w:rPr>
        <w:t>CASABLANCA</w:t>
      </w:r>
      <w:r w:rsidR="00C14C1C" w:rsidRPr="005A730A">
        <w:rPr>
          <w:rFonts w:asciiTheme="minorBidi" w:eastAsia="Arial" w:hAnsiTheme="minorBidi" w:cstheme="minorBidi"/>
          <w:b/>
          <w:lang w:val="fr-FR"/>
        </w:rPr>
        <w:t xml:space="preserve">, </w:t>
      </w:r>
      <w:r w:rsidRPr="005A730A">
        <w:rPr>
          <w:rFonts w:asciiTheme="minorBidi" w:eastAsia="Arial" w:hAnsiTheme="minorBidi" w:cstheme="minorBidi"/>
          <w:b/>
          <w:lang w:val="fr-FR"/>
        </w:rPr>
        <w:t>Maroc</w:t>
      </w:r>
      <w:r w:rsidR="00FE600A" w:rsidRPr="005A730A">
        <w:rPr>
          <w:rFonts w:asciiTheme="minorBidi" w:eastAsia="Arial" w:hAnsiTheme="minorBidi" w:cstheme="minorBidi"/>
          <w:b/>
          <w:lang w:val="fr-FR"/>
        </w:rPr>
        <w:t>.</w:t>
      </w:r>
      <w:r w:rsidR="00C14C1C" w:rsidRPr="005A730A">
        <w:rPr>
          <w:rFonts w:asciiTheme="minorBidi" w:eastAsia="Arial" w:hAnsiTheme="minorBidi" w:cstheme="minorBidi"/>
          <w:b/>
          <w:lang w:val="fr-FR"/>
        </w:rPr>
        <w:t xml:space="preserve"> </w:t>
      </w:r>
      <w:r w:rsidR="00F7527E">
        <w:rPr>
          <w:rFonts w:asciiTheme="minorBidi" w:eastAsia="Arial" w:hAnsiTheme="minorBidi" w:cstheme="minorBidi"/>
          <w:b/>
          <w:lang w:val="fr-FR"/>
        </w:rPr>
        <w:t>2</w:t>
      </w:r>
      <w:r>
        <w:rPr>
          <w:rFonts w:asciiTheme="minorBidi" w:eastAsia="Arial" w:hAnsiTheme="minorBidi" w:cstheme="minorBidi"/>
          <w:b/>
          <w:lang w:val="fr-FR"/>
        </w:rPr>
        <w:t xml:space="preserve">8 </w:t>
      </w:r>
      <w:r w:rsidR="00FE600A" w:rsidRPr="005A730A">
        <w:rPr>
          <w:rFonts w:asciiTheme="minorBidi" w:eastAsia="Arial" w:hAnsiTheme="minorBidi" w:cstheme="minorBidi"/>
          <w:b/>
          <w:lang w:val="fr-FR"/>
        </w:rPr>
        <w:t xml:space="preserve">May </w:t>
      </w:r>
      <w:r w:rsidR="00C14C1C" w:rsidRPr="005A730A">
        <w:rPr>
          <w:rFonts w:asciiTheme="minorBidi" w:eastAsia="Arial" w:hAnsiTheme="minorBidi" w:cstheme="minorBidi"/>
          <w:b/>
          <w:lang w:val="fr-FR"/>
        </w:rPr>
        <w:t xml:space="preserve">2020 </w:t>
      </w:r>
      <w:r w:rsidR="00C14C1C" w:rsidRPr="005A730A">
        <w:rPr>
          <w:rFonts w:asciiTheme="minorBidi" w:eastAsia="Arial" w:hAnsiTheme="minorBidi" w:cstheme="minorBidi"/>
          <w:lang w:val="fr-FR"/>
        </w:rPr>
        <w:t>–</w:t>
      </w:r>
      <w:r w:rsidRPr="005A730A">
        <w:rPr>
          <w:rFonts w:asciiTheme="minorBidi" w:eastAsia="Arial" w:hAnsiTheme="minorBidi" w:cstheme="minorBidi"/>
          <w:lang w:val="fr-FR"/>
        </w:rPr>
        <w:t xml:space="preserve"> Les fientes synthétiques développées en laboratoire par Ford sont si réalistes qu'elles peuvent refléter avec précision les différents régimes alimentaires - et donc l'acidité différente des excréments</w:t>
      </w:r>
      <w:r w:rsidR="00B0430D">
        <w:rPr>
          <w:rFonts w:asciiTheme="minorBidi" w:eastAsia="Arial" w:hAnsiTheme="minorBidi" w:cstheme="minorBidi"/>
          <w:lang w:val="fr-FR"/>
        </w:rPr>
        <w:t xml:space="preserve"> </w:t>
      </w:r>
      <w:r w:rsidRPr="005A730A">
        <w:rPr>
          <w:rFonts w:asciiTheme="minorBidi" w:eastAsia="Arial" w:hAnsiTheme="minorBidi" w:cstheme="minorBidi"/>
          <w:lang w:val="fr-FR"/>
        </w:rPr>
        <w:t>d</w:t>
      </w:r>
      <w:r w:rsidR="00B0430D">
        <w:rPr>
          <w:rFonts w:asciiTheme="minorBidi" w:eastAsia="Arial" w:hAnsiTheme="minorBidi" w:cstheme="minorBidi"/>
          <w:lang w:val="fr-FR"/>
        </w:rPr>
        <w:t>’</w:t>
      </w:r>
      <w:r w:rsidRPr="005A730A">
        <w:rPr>
          <w:rFonts w:asciiTheme="minorBidi" w:eastAsia="Arial" w:hAnsiTheme="minorBidi" w:cstheme="minorBidi"/>
          <w:lang w:val="fr-FR"/>
        </w:rPr>
        <w:t>oiseaux.</w:t>
      </w:r>
    </w:p>
    <w:p w14:paraId="20479179" w14:textId="77777777" w:rsidR="005A730A" w:rsidRPr="005A730A" w:rsidRDefault="005A730A" w:rsidP="00F500B7">
      <w:pPr>
        <w:spacing w:line="280" w:lineRule="exact"/>
        <w:jc w:val="both"/>
        <w:rPr>
          <w:rFonts w:asciiTheme="minorBidi" w:eastAsia="Arial" w:hAnsiTheme="minorBidi" w:cstheme="minorBidi"/>
          <w:lang w:val="fr-FR"/>
        </w:rPr>
      </w:pPr>
    </w:p>
    <w:p w14:paraId="74A49E87" w14:textId="77777777" w:rsidR="005A730A" w:rsidRPr="005A730A" w:rsidRDefault="005A730A" w:rsidP="00F500B7">
      <w:pPr>
        <w:spacing w:line="280" w:lineRule="exact"/>
        <w:jc w:val="both"/>
        <w:rPr>
          <w:rFonts w:asciiTheme="minorBidi" w:eastAsia="Arial" w:hAnsiTheme="minorBidi" w:cstheme="minorBidi"/>
          <w:lang w:val="fr-FR"/>
        </w:rPr>
      </w:pPr>
      <w:r w:rsidRPr="005A730A">
        <w:rPr>
          <w:rFonts w:asciiTheme="minorBidi" w:eastAsia="Arial" w:hAnsiTheme="minorBidi" w:cstheme="minorBidi"/>
          <w:lang w:val="fr-FR"/>
        </w:rPr>
        <w:t>Appliquées aux panneaux d'essai sous forme de spray, les pièces échantillons sont chauffées à 40°C, 50°C et 60°C dans un four pour reproduire les cas de chaleurs extrêmes, poussant la protection contre la corrosion de la peinture à ses limites.</w:t>
      </w:r>
    </w:p>
    <w:p w14:paraId="6A629D7F" w14:textId="77777777" w:rsidR="005A730A" w:rsidRPr="005A730A" w:rsidRDefault="005A730A" w:rsidP="00F500B7">
      <w:pPr>
        <w:spacing w:line="280" w:lineRule="exact"/>
        <w:jc w:val="both"/>
        <w:rPr>
          <w:rFonts w:asciiTheme="minorBidi" w:eastAsia="Arial" w:hAnsiTheme="minorBidi" w:cstheme="minorBidi"/>
          <w:lang w:val="fr-FR"/>
        </w:rPr>
      </w:pPr>
    </w:p>
    <w:p w14:paraId="64410619" w14:textId="77777777" w:rsidR="005A730A" w:rsidRPr="005A730A" w:rsidRDefault="005A730A" w:rsidP="00F500B7">
      <w:pPr>
        <w:spacing w:line="280" w:lineRule="exact"/>
        <w:jc w:val="both"/>
        <w:rPr>
          <w:rFonts w:asciiTheme="minorBidi" w:eastAsia="Arial" w:hAnsiTheme="minorBidi" w:cstheme="minorBidi"/>
          <w:lang w:val="fr-FR"/>
        </w:rPr>
      </w:pPr>
      <w:r w:rsidRPr="005A730A">
        <w:rPr>
          <w:rFonts w:asciiTheme="minorBidi" w:eastAsia="Arial" w:hAnsiTheme="minorBidi" w:cstheme="minorBidi"/>
          <w:lang w:val="fr-FR"/>
        </w:rPr>
        <w:t>Le "test du caca d'oiseau" n'est qu'une des épreuves auxquelles sont soumis les échantillons de peinture. Ils pulvérisent également de l'acide phosphorique mélangé à du savon détergent, et du pollen synthétique sur les panneaux avant de les faire vieillir dans des fours à 60°C et 80°C pendant 30 minutes. Le test protège contre les particules qui circulent dans l'air, comme le pollen ou la sève d'arbre, particulièrement collante.</w:t>
      </w:r>
    </w:p>
    <w:p w14:paraId="2D93DBAD" w14:textId="77777777" w:rsidR="005A730A" w:rsidRPr="005A730A" w:rsidRDefault="005A730A" w:rsidP="00F500B7">
      <w:pPr>
        <w:spacing w:line="280" w:lineRule="exact"/>
        <w:jc w:val="both"/>
        <w:rPr>
          <w:rFonts w:asciiTheme="minorBidi" w:eastAsia="Arial" w:hAnsiTheme="minorBidi" w:cstheme="minorBidi"/>
          <w:lang w:val="fr-FR"/>
        </w:rPr>
      </w:pPr>
    </w:p>
    <w:p w14:paraId="1C5F5996" w14:textId="77777777" w:rsidR="005A730A" w:rsidRPr="005A730A" w:rsidRDefault="005A730A" w:rsidP="00F500B7">
      <w:pPr>
        <w:spacing w:line="280" w:lineRule="exact"/>
        <w:jc w:val="both"/>
        <w:rPr>
          <w:rFonts w:asciiTheme="minorBidi" w:eastAsia="Arial" w:hAnsiTheme="minorBidi" w:cstheme="minorBidi"/>
          <w:b/>
          <w:bCs/>
          <w:lang w:val="fr-FR"/>
        </w:rPr>
      </w:pPr>
      <w:r w:rsidRPr="005A730A">
        <w:rPr>
          <w:rFonts w:asciiTheme="minorBidi" w:eastAsia="Arial" w:hAnsiTheme="minorBidi" w:cstheme="minorBidi"/>
          <w:b/>
          <w:bCs/>
          <w:lang w:val="fr-FR"/>
        </w:rPr>
        <w:t>Nettoyage de printemps</w:t>
      </w:r>
    </w:p>
    <w:p w14:paraId="10FC8BE3" w14:textId="77777777" w:rsidR="005A730A" w:rsidRPr="005A730A" w:rsidRDefault="005A730A" w:rsidP="00F500B7">
      <w:pPr>
        <w:spacing w:line="280" w:lineRule="exact"/>
        <w:jc w:val="both"/>
        <w:rPr>
          <w:rFonts w:asciiTheme="minorBidi" w:eastAsia="Arial" w:hAnsiTheme="minorBidi" w:cstheme="minorBidi"/>
          <w:lang w:val="fr-FR"/>
        </w:rPr>
      </w:pPr>
    </w:p>
    <w:p w14:paraId="438F4660" w14:textId="77777777" w:rsidR="005A730A" w:rsidRPr="005A730A" w:rsidRDefault="005A730A" w:rsidP="00F500B7">
      <w:pPr>
        <w:spacing w:line="280" w:lineRule="exact"/>
        <w:jc w:val="both"/>
        <w:rPr>
          <w:rFonts w:asciiTheme="minorBidi" w:eastAsia="Arial" w:hAnsiTheme="minorBidi" w:cstheme="minorBidi"/>
          <w:lang w:val="fr-FR"/>
        </w:rPr>
      </w:pPr>
      <w:r w:rsidRPr="005A730A">
        <w:rPr>
          <w:rFonts w:asciiTheme="minorBidi" w:eastAsia="Arial" w:hAnsiTheme="minorBidi" w:cstheme="minorBidi"/>
          <w:lang w:val="fr-FR"/>
        </w:rPr>
        <w:t>Le printemps et l'été peuvent être particulièrement nocifs pour la peinture car non seulement il y a souvent plus d'oiseaux dans les environs, mais la peinture peut aussi se ramollir et se dilater sous l'effet d'un soleil intense. Lorsqu'elle refroidit, elle se contracte et toute saleté, y compris les déjections d'oiseaux, se fixe à la surface. Si elle n'est pas nettoyée rapidement du véhicule, elle peut laisser une trace qui nécessite un traitement spécialisé pour l'enlever.</w:t>
      </w:r>
    </w:p>
    <w:p w14:paraId="6A8BB294" w14:textId="77777777" w:rsidR="005A730A" w:rsidRPr="005A730A" w:rsidRDefault="005A730A" w:rsidP="00F500B7">
      <w:pPr>
        <w:spacing w:line="280" w:lineRule="exact"/>
        <w:jc w:val="both"/>
        <w:rPr>
          <w:rFonts w:asciiTheme="minorBidi" w:eastAsia="Arial" w:hAnsiTheme="minorBidi" w:cstheme="minorBidi"/>
          <w:lang w:val="fr-FR"/>
        </w:rPr>
      </w:pPr>
    </w:p>
    <w:p w14:paraId="0C4ED294" w14:textId="24E2B292" w:rsidR="005A730A" w:rsidRPr="005A730A" w:rsidRDefault="005A730A" w:rsidP="00F500B7">
      <w:pPr>
        <w:spacing w:line="280" w:lineRule="exact"/>
        <w:jc w:val="both"/>
        <w:rPr>
          <w:rFonts w:asciiTheme="minorBidi" w:eastAsia="Arial" w:hAnsiTheme="minorBidi" w:cstheme="minorBidi"/>
          <w:lang w:val="fr-FR"/>
        </w:rPr>
      </w:pPr>
      <w:r w:rsidRPr="005A730A">
        <w:rPr>
          <w:rFonts w:asciiTheme="minorBidi" w:eastAsia="Arial" w:hAnsiTheme="minorBidi" w:cstheme="minorBidi"/>
          <w:lang w:val="fr-FR"/>
        </w:rPr>
        <w:t>En peaufinant les pigments, les résines et les additifs qui entrent dans la composition du lustrage d'un véhicule, les spécialistes renforcent alors le revêtement que Ford applique sur ses véhicules afin qu'ils résistent à l'impact de ces types d'"attaques", quel que soit le temps.</w:t>
      </w:r>
    </w:p>
    <w:p w14:paraId="46F12014" w14:textId="77777777" w:rsidR="005A730A" w:rsidRPr="005A730A" w:rsidRDefault="005A730A" w:rsidP="00F500B7">
      <w:pPr>
        <w:spacing w:line="280" w:lineRule="exact"/>
        <w:jc w:val="both"/>
        <w:rPr>
          <w:rFonts w:asciiTheme="minorBidi" w:eastAsia="Arial" w:hAnsiTheme="minorBidi" w:cstheme="minorBidi"/>
          <w:lang w:val="fr-FR"/>
        </w:rPr>
      </w:pPr>
    </w:p>
    <w:p w14:paraId="2B686E77" w14:textId="208954EE" w:rsidR="005A730A" w:rsidRPr="005A730A" w:rsidRDefault="005A730A" w:rsidP="00F500B7">
      <w:pPr>
        <w:spacing w:line="280" w:lineRule="exact"/>
        <w:jc w:val="both"/>
        <w:rPr>
          <w:rFonts w:asciiTheme="minorBidi" w:eastAsia="Arial" w:hAnsiTheme="minorBidi" w:cstheme="minorBidi"/>
          <w:lang w:val="fr-FR"/>
        </w:rPr>
      </w:pPr>
      <w:r w:rsidRPr="005A730A">
        <w:rPr>
          <w:rFonts w:asciiTheme="minorBidi" w:eastAsia="Arial" w:hAnsiTheme="minorBidi" w:cstheme="minorBidi"/>
          <w:lang w:val="fr-FR"/>
        </w:rPr>
        <w:t xml:space="preserve">Les échantillons de peinture sont également soumis à d'autres tests : bombardement ininterrompu de rayons ultraviolets pendant 6 000 heures (250 jours) dans un laboratoire d'éclairage - qui simule l'équivalent de 5 années dans l'endroit le plus lumineux du monde - </w:t>
      </w:r>
      <w:r w:rsidRPr="005A730A">
        <w:rPr>
          <w:rFonts w:asciiTheme="minorBidi" w:eastAsia="Arial" w:hAnsiTheme="minorBidi" w:cstheme="minorBidi"/>
          <w:lang w:val="fr-FR"/>
        </w:rPr>
        <w:lastRenderedPageBreak/>
        <w:t>pour évaluer l'altération atmosphérique extérieure ; gel à des températures inférieures à zéro</w:t>
      </w:r>
      <w:r w:rsidR="00306803">
        <w:rPr>
          <w:rFonts w:asciiTheme="minorBidi" w:eastAsia="Arial" w:hAnsiTheme="minorBidi" w:cstheme="minorBidi"/>
          <w:lang w:val="fr-FR"/>
        </w:rPr>
        <w:t xml:space="preserve"> </w:t>
      </w:r>
      <w:r w:rsidRPr="005A730A">
        <w:rPr>
          <w:rFonts w:asciiTheme="minorBidi" w:eastAsia="Arial" w:hAnsiTheme="minorBidi" w:cstheme="minorBidi"/>
          <w:lang w:val="fr-FR"/>
        </w:rPr>
        <w:t>; exposition à la saleté des routes en hiver dans une chambre à sel à forte humidité et simulation de taches de carburant dues à un sur-remplissage du réservoir de carburant.</w:t>
      </w:r>
    </w:p>
    <w:p w14:paraId="6062A4D8" w14:textId="77777777" w:rsidR="005A730A" w:rsidRPr="005A730A" w:rsidRDefault="005A730A" w:rsidP="00F500B7">
      <w:pPr>
        <w:spacing w:line="280" w:lineRule="exact"/>
        <w:jc w:val="both"/>
        <w:rPr>
          <w:rFonts w:asciiTheme="minorBidi" w:eastAsia="Arial" w:hAnsiTheme="minorBidi" w:cstheme="minorBidi"/>
          <w:lang w:val="fr-FR"/>
        </w:rPr>
      </w:pPr>
    </w:p>
    <w:p w14:paraId="435AD599" w14:textId="77777777" w:rsidR="005A730A" w:rsidRPr="005A730A" w:rsidRDefault="005A730A" w:rsidP="00F500B7">
      <w:pPr>
        <w:spacing w:line="280" w:lineRule="exact"/>
        <w:jc w:val="both"/>
        <w:rPr>
          <w:rFonts w:asciiTheme="minorBidi" w:eastAsia="Arial" w:hAnsiTheme="minorBidi" w:cstheme="minorBidi"/>
          <w:b/>
          <w:bCs/>
          <w:lang w:val="fr-FR"/>
        </w:rPr>
      </w:pPr>
      <w:r w:rsidRPr="005A730A">
        <w:rPr>
          <w:rFonts w:asciiTheme="minorBidi" w:eastAsia="Arial" w:hAnsiTheme="minorBidi" w:cstheme="minorBidi"/>
          <w:b/>
          <w:bCs/>
          <w:lang w:val="fr-FR"/>
        </w:rPr>
        <w:t>Comment bien nettoyer votre véhicule des "attaques" d'oiseaux</w:t>
      </w:r>
    </w:p>
    <w:p w14:paraId="0EC13457" w14:textId="77777777" w:rsidR="005A730A" w:rsidRPr="005A730A" w:rsidRDefault="005A730A" w:rsidP="00F500B7">
      <w:pPr>
        <w:spacing w:line="280" w:lineRule="exact"/>
        <w:jc w:val="both"/>
        <w:rPr>
          <w:rFonts w:asciiTheme="minorBidi" w:eastAsia="Arial" w:hAnsiTheme="minorBidi" w:cstheme="minorBidi"/>
          <w:lang w:val="fr-FR"/>
        </w:rPr>
      </w:pPr>
    </w:p>
    <w:p w14:paraId="495BD940" w14:textId="369D6541" w:rsidR="005A730A" w:rsidRDefault="005A730A" w:rsidP="00F500B7">
      <w:pPr>
        <w:spacing w:line="280" w:lineRule="exact"/>
        <w:jc w:val="both"/>
        <w:rPr>
          <w:rFonts w:asciiTheme="minorBidi" w:eastAsia="Arial" w:hAnsiTheme="minorBidi" w:cstheme="minorBidi"/>
          <w:lang w:val="fr-FR"/>
        </w:rPr>
      </w:pPr>
      <w:r w:rsidRPr="005A730A">
        <w:rPr>
          <w:rFonts w:asciiTheme="minorBidi" w:eastAsia="Arial" w:hAnsiTheme="minorBidi" w:cstheme="minorBidi"/>
          <w:lang w:val="fr-FR"/>
        </w:rPr>
        <w:t>Laisser des crottes d'oiseaux sur un véhicule n'est cependant jamais une bonne idée. Le conseil à tout propriétaire de voiture est simplement de laver régulièrement son véhicule avec une éponge et de l'eau tiède contenant un shampoing au pH neutre et d'enlever immédiatement et en douceur les substances d'apparence inoffensive de la peinture. Le fait de nettoyer les surfaces peintes une ou deux fois par an permet de s'assurer que les nouvelles peintures résistent mieux aux attaques les plus sévères, tout en restant brillantes plus longtemps.</w:t>
      </w:r>
    </w:p>
    <w:p w14:paraId="4F423B90" w14:textId="3AF3F20F" w:rsidR="00B0430D" w:rsidRDefault="00B0430D" w:rsidP="00F500B7">
      <w:pPr>
        <w:spacing w:line="280" w:lineRule="exact"/>
        <w:jc w:val="both"/>
        <w:rPr>
          <w:rFonts w:asciiTheme="minorBidi" w:eastAsia="Arial" w:hAnsiTheme="minorBidi" w:cstheme="minorBidi"/>
          <w:lang w:val="fr-FR"/>
        </w:rPr>
      </w:pPr>
    </w:p>
    <w:p w14:paraId="3B99EEC2" w14:textId="2117967A" w:rsidR="00B0430D" w:rsidRPr="00B0430D" w:rsidRDefault="00B0430D" w:rsidP="00F500B7">
      <w:pPr>
        <w:spacing w:line="280" w:lineRule="exact"/>
        <w:jc w:val="both"/>
        <w:rPr>
          <w:rFonts w:ascii="Arial" w:eastAsia="Arial" w:hAnsi="Arial" w:cs="Arial"/>
          <w:color w:val="000000"/>
          <w:sz w:val="24"/>
          <w:szCs w:val="24"/>
          <w:lang w:val="fr-FR"/>
        </w:rPr>
      </w:pPr>
      <w:r>
        <w:rPr>
          <w:rFonts w:ascii="Arial" w:eastAsia="Arial" w:hAnsi="Arial" w:cs="Arial"/>
          <w:color w:val="000000"/>
          <w:sz w:val="24"/>
          <w:szCs w:val="24"/>
          <w:lang w:val="fr-FR"/>
        </w:rPr>
        <w:t>« </w:t>
      </w:r>
      <w:bookmarkStart w:id="1" w:name="_Hlk41571613"/>
      <w:r w:rsidRPr="00B0430D">
        <w:rPr>
          <w:rFonts w:ascii="Arial" w:eastAsia="Arial" w:hAnsi="Arial" w:cs="Arial"/>
          <w:color w:val="000000"/>
          <w:sz w:val="24"/>
          <w:szCs w:val="24"/>
          <w:lang w:val="fr-FR"/>
        </w:rPr>
        <w:t xml:space="preserve">Avec autant de voitures garées en ce moment alors que les gens restent à la maison, il est probable que les oiseaux laissent </w:t>
      </w:r>
      <w:r w:rsidR="006021C9">
        <w:rPr>
          <w:rFonts w:ascii="Arial" w:eastAsia="Arial" w:hAnsi="Arial" w:cs="Arial"/>
          <w:color w:val="000000"/>
          <w:sz w:val="24"/>
          <w:szCs w:val="24"/>
          <w:lang w:val="fr-FR"/>
        </w:rPr>
        <w:t>leurs marques de passage plus</w:t>
      </w:r>
      <w:r w:rsidRPr="00B0430D">
        <w:rPr>
          <w:rFonts w:ascii="Arial" w:eastAsia="Arial" w:hAnsi="Arial" w:cs="Arial"/>
          <w:color w:val="000000"/>
          <w:sz w:val="24"/>
          <w:szCs w:val="24"/>
          <w:lang w:val="fr-FR"/>
        </w:rPr>
        <w:t xml:space="preserve"> que d'habitude</w:t>
      </w:r>
      <w:bookmarkEnd w:id="1"/>
      <w:r w:rsidRPr="00B0430D">
        <w:rPr>
          <w:rFonts w:ascii="Arial" w:eastAsia="Arial" w:hAnsi="Arial" w:cs="Arial"/>
          <w:color w:val="000000"/>
          <w:sz w:val="24"/>
          <w:szCs w:val="24"/>
          <w:lang w:val="fr-FR"/>
        </w:rPr>
        <w:t>. Il est sage de l</w:t>
      </w:r>
      <w:r>
        <w:rPr>
          <w:rFonts w:ascii="Arial" w:eastAsia="Arial" w:hAnsi="Arial" w:cs="Arial"/>
          <w:color w:val="000000"/>
          <w:sz w:val="24"/>
          <w:szCs w:val="24"/>
          <w:lang w:val="fr-FR"/>
        </w:rPr>
        <w:t xml:space="preserve">es </w:t>
      </w:r>
      <w:r w:rsidRPr="00B0430D">
        <w:rPr>
          <w:rFonts w:ascii="Arial" w:eastAsia="Arial" w:hAnsi="Arial" w:cs="Arial"/>
          <w:color w:val="000000"/>
          <w:sz w:val="24"/>
          <w:szCs w:val="24"/>
          <w:lang w:val="fr-FR"/>
        </w:rPr>
        <w:t>enlever avant qu'</w:t>
      </w:r>
      <w:r>
        <w:rPr>
          <w:rFonts w:ascii="Arial" w:eastAsia="Arial" w:hAnsi="Arial" w:cs="Arial"/>
          <w:color w:val="000000"/>
          <w:sz w:val="24"/>
          <w:szCs w:val="24"/>
          <w:lang w:val="fr-FR"/>
        </w:rPr>
        <w:t>elles</w:t>
      </w:r>
      <w:r w:rsidRPr="00B0430D">
        <w:rPr>
          <w:rFonts w:ascii="Arial" w:eastAsia="Arial" w:hAnsi="Arial" w:cs="Arial"/>
          <w:color w:val="000000"/>
          <w:sz w:val="24"/>
          <w:szCs w:val="24"/>
          <w:lang w:val="fr-FR"/>
        </w:rPr>
        <w:t xml:space="preserve"> ne</w:t>
      </w:r>
      <w:r>
        <w:rPr>
          <w:rFonts w:ascii="Arial" w:eastAsia="Arial" w:hAnsi="Arial" w:cs="Arial"/>
          <w:color w:val="000000"/>
          <w:sz w:val="24"/>
          <w:szCs w:val="24"/>
          <w:lang w:val="fr-FR"/>
        </w:rPr>
        <w:t xml:space="preserve"> laissent des traces… </w:t>
      </w:r>
      <w:r w:rsidRPr="00B0430D">
        <w:rPr>
          <w:rFonts w:ascii="Arial" w:eastAsia="Arial" w:hAnsi="Arial" w:cs="Arial"/>
          <w:color w:val="000000"/>
          <w:sz w:val="24"/>
          <w:szCs w:val="24"/>
          <w:lang w:val="fr-FR"/>
        </w:rPr>
        <w:t>mais nos clients peuvent au moins se consoler dans le travail que nous faisons pour garder leur peinture protégée.</w:t>
      </w:r>
      <w:r>
        <w:rPr>
          <w:rFonts w:ascii="Arial" w:eastAsia="Arial" w:hAnsi="Arial" w:cs="Arial"/>
          <w:color w:val="000000"/>
          <w:sz w:val="24"/>
          <w:szCs w:val="24"/>
          <w:lang w:val="fr-FR"/>
        </w:rPr>
        <w:t> » - A</w:t>
      </w:r>
      <w:r w:rsidRPr="00B0430D">
        <w:rPr>
          <w:rFonts w:ascii="Arial" w:eastAsia="Arial" w:hAnsi="Arial" w:cs="Arial"/>
          <w:color w:val="000000"/>
          <w:sz w:val="24"/>
          <w:szCs w:val="24"/>
          <w:lang w:val="fr-FR"/>
        </w:rPr>
        <w:t xml:space="preserve">ndré </w:t>
      </w:r>
      <w:proofErr w:type="spellStart"/>
      <w:r w:rsidRPr="00B0430D">
        <w:rPr>
          <w:rFonts w:ascii="Arial" w:eastAsia="Arial" w:hAnsi="Arial" w:cs="Arial"/>
          <w:color w:val="000000"/>
          <w:sz w:val="24"/>
          <w:szCs w:val="24"/>
          <w:lang w:val="fr-FR"/>
        </w:rPr>
        <w:t>Thierig</w:t>
      </w:r>
      <w:proofErr w:type="spellEnd"/>
      <w:r w:rsidRPr="00B0430D">
        <w:rPr>
          <w:rFonts w:ascii="Arial" w:eastAsia="Arial" w:hAnsi="Arial" w:cs="Arial"/>
          <w:color w:val="000000"/>
          <w:sz w:val="24"/>
          <w:szCs w:val="24"/>
          <w:lang w:val="fr-FR"/>
        </w:rPr>
        <w:t xml:space="preserve">, directeur, </w:t>
      </w:r>
      <w:proofErr w:type="spellStart"/>
      <w:r w:rsidRPr="00B0430D">
        <w:rPr>
          <w:rFonts w:ascii="Arial" w:eastAsia="Arial" w:hAnsi="Arial" w:cs="Arial"/>
          <w:color w:val="000000"/>
          <w:sz w:val="24"/>
          <w:szCs w:val="24"/>
          <w:lang w:val="fr-FR"/>
        </w:rPr>
        <w:t>Core</w:t>
      </w:r>
      <w:proofErr w:type="spellEnd"/>
      <w:r w:rsidRPr="00B0430D">
        <w:rPr>
          <w:rFonts w:ascii="Arial" w:eastAsia="Arial" w:hAnsi="Arial" w:cs="Arial"/>
          <w:color w:val="000000"/>
          <w:sz w:val="24"/>
          <w:szCs w:val="24"/>
          <w:lang w:val="fr-FR"/>
        </w:rPr>
        <w:t xml:space="preserve"> Engineering Paint, Ford Europe</w:t>
      </w:r>
    </w:p>
    <w:p w14:paraId="7299B6ED" w14:textId="77777777" w:rsidR="00816E13" w:rsidRPr="00B0430D" w:rsidRDefault="00816E13" w:rsidP="0020491B">
      <w:pPr>
        <w:jc w:val="center"/>
        <w:rPr>
          <w:rFonts w:ascii="Arial" w:eastAsia="Arial" w:hAnsi="Arial" w:cs="Arial"/>
          <w:b/>
          <w:bCs/>
          <w:color w:val="000000"/>
          <w:sz w:val="24"/>
          <w:szCs w:val="24"/>
          <w:lang w:val="fr-FR"/>
        </w:rPr>
      </w:pPr>
    </w:p>
    <w:p w14:paraId="535E7D45" w14:textId="68B7EA05" w:rsidR="0020491B" w:rsidRPr="001C4C60" w:rsidRDefault="0020491B" w:rsidP="0020491B">
      <w:pPr>
        <w:jc w:val="center"/>
        <w:rPr>
          <w:rFonts w:ascii="Arial" w:eastAsia="Arial" w:hAnsi="Arial" w:cs="Arial"/>
          <w:b/>
          <w:bCs/>
          <w:color w:val="000000"/>
          <w:sz w:val="24"/>
          <w:szCs w:val="24"/>
          <w:lang w:val="fr-FR"/>
        </w:rPr>
      </w:pPr>
      <w:r w:rsidRPr="001C4C60">
        <w:rPr>
          <w:rFonts w:ascii="Arial" w:eastAsia="Arial" w:hAnsi="Arial" w:cs="Arial"/>
          <w:b/>
          <w:bCs/>
          <w:color w:val="000000"/>
          <w:sz w:val="24"/>
          <w:szCs w:val="24"/>
          <w:lang w:val="fr-FR"/>
        </w:rPr>
        <w:t>###</w:t>
      </w:r>
    </w:p>
    <w:p w14:paraId="32FF1371" w14:textId="77777777" w:rsidR="006B0845" w:rsidRPr="001C4C60" w:rsidRDefault="006B0845" w:rsidP="006B0845">
      <w:pPr>
        <w:rPr>
          <w:rFonts w:ascii="Arial" w:eastAsia="Arial" w:hAnsi="Arial" w:cs="Arial"/>
          <w:bCs/>
          <w:i/>
          <w:sz w:val="18"/>
          <w:szCs w:val="18"/>
          <w:lang w:val="fr-FR"/>
        </w:rPr>
      </w:pPr>
      <w:bookmarkStart w:id="2" w:name="_Hlk39580310"/>
    </w:p>
    <w:bookmarkEnd w:id="2"/>
    <w:p w14:paraId="4F1CAA4D" w14:textId="77777777" w:rsidR="001C4C60" w:rsidRPr="001C4C60" w:rsidRDefault="001C4C60" w:rsidP="001C4C60">
      <w:pPr>
        <w:rPr>
          <w:rFonts w:ascii="Arial" w:eastAsia="Arial" w:hAnsi="Arial" w:cs="Arial"/>
          <w:b/>
          <w:i/>
          <w:sz w:val="18"/>
          <w:szCs w:val="18"/>
          <w:lang w:val="fr-FR"/>
        </w:rPr>
      </w:pPr>
      <w:r w:rsidRPr="001C4C60">
        <w:rPr>
          <w:rFonts w:ascii="Arial" w:eastAsia="Arial" w:hAnsi="Arial" w:cs="Arial"/>
          <w:b/>
          <w:i/>
          <w:sz w:val="18"/>
          <w:szCs w:val="18"/>
          <w:lang w:val="fr-FR"/>
        </w:rPr>
        <w:t xml:space="preserve">À propos de Ford </w:t>
      </w:r>
      <w:proofErr w:type="spellStart"/>
      <w:r w:rsidRPr="001C4C60">
        <w:rPr>
          <w:rFonts w:ascii="Arial" w:eastAsia="Arial" w:hAnsi="Arial" w:cs="Arial"/>
          <w:b/>
          <w:i/>
          <w:sz w:val="18"/>
          <w:szCs w:val="18"/>
          <w:lang w:val="fr-FR"/>
        </w:rPr>
        <w:t>Motor</w:t>
      </w:r>
      <w:proofErr w:type="spellEnd"/>
      <w:r w:rsidRPr="001C4C60">
        <w:rPr>
          <w:rFonts w:ascii="Arial" w:eastAsia="Arial" w:hAnsi="Arial" w:cs="Arial"/>
          <w:b/>
          <w:i/>
          <w:sz w:val="18"/>
          <w:szCs w:val="18"/>
          <w:lang w:val="fr-FR"/>
        </w:rPr>
        <w:t xml:space="preserve"> </w:t>
      </w:r>
      <w:proofErr w:type="spellStart"/>
      <w:r w:rsidRPr="001C4C60">
        <w:rPr>
          <w:rFonts w:ascii="Arial" w:eastAsia="Arial" w:hAnsi="Arial" w:cs="Arial"/>
          <w:b/>
          <w:i/>
          <w:sz w:val="18"/>
          <w:szCs w:val="18"/>
          <w:lang w:val="fr-FR"/>
        </w:rPr>
        <w:t>Company</w:t>
      </w:r>
      <w:proofErr w:type="spellEnd"/>
    </w:p>
    <w:p w14:paraId="146BB9E2" w14:textId="05319FFD" w:rsidR="001C4C60" w:rsidRDefault="001C4C60" w:rsidP="001C4C60">
      <w:pPr>
        <w:rPr>
          <w:rFonts w:ascii="Arial" w:eastAsia="Arial" w:hAnsi="Arial" w:cs="Arial"/>
          <w:bCs/>
          <w:i/>
          <w:sz w:val="18"/>
          <w:szCs w:val="18"/>
          <w:lang w:val="fr-FR"/>
        </w:rPr>
      </w:pPr>
      <w:r w:rsidRPr="001C4C60">
        <w:rPr>
          <w:rFonts w:ascii="Arial" w:eastAsia="Arial" w:hAnsi="Arial" w:cs="Arial"/>
          <w:bCs/>
          <w:i/>
          <w:sz w:val="18"/>
          <w:szCs w:val="18"/>
          <w:lang w:val="fr-FR"/>
        </w:rPr>
        <w:t xml:space="preserve">Ford </w:t>
      </w:r>
      <w:proofErr w:type="spellStart"/>
      <w:r w:rsidRPr="001C4C60">
        <w:rPr>
          <w:rFonts w:ascii="Arial" w:eastAsia="Arial" w:hAnsi="Arial" w:cs="Arial"/>
          <w:bCs/>
          <w:i/>
          <w:sz w:val="18"/>
          <w:szCs w:val="18"/>
          <w:lang w:val="fr-FR"/>
        </w:rPr>
        <w:t>Motor</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Company</w:t>
      </w:r>
      <w:proofErr w:type="spellEnd"/>
      <w:r w:rsidRPr="001C4C60">
        <w:rPr>
          <w:rFonts w:ascii="Arial" w:eastAsia="Arial" w:hAnsi="Arial" w:cs="Arial"/>
          <w:bCs/>
          <w:i/>
          <w:sz w:val="18"/>
          <w:szCs w:val="18"/>
          <w:lang w:val="fr-FR"/>
        </w:rPr>
        <w:t xml:space="preserve"> est une entreprise mondiale basée à Dearborn, Michigan. Ses activités principales incluent le design, la fabrication, le marketing et l'entretien d'une gamme complète de véhicules Ford : voitures, camions, SUV, véhicules électriques et les luxueux modèles Lincoln. L’entreprise fournit des services financiers à travers Ford </w:t>
      </w:r>
      <w:proofErr w:type="spellStart"/>
      <w:r w:rsidRPr="001C4C60">
        <w:rPr>
          <w:rFonts w:ascii="Arial" w:eastAsia="Arial" w:hAnsi="Arial" w:cs="Arial"/>
          <w:bCs/>
          <w:i/>
          <w:sz w:val="18"/>
          <w:szCs w:val="18"/>
          <w:lang w:val="fr-FR"/>
        </w:rPr>
        <w:t>Motor</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Credit</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Company</w:t>
      </w:r>
      <w:proofErr w:type="spellEnd"/>
      <w:r w:rsidRPr="001C4C60">
        <w:rPr>
          <w:rFonts w:ascii="Arial" w:eastAsia="Arial" w:hAnsi="Arial" w:cs="Arial"/>
          <w:bCs/>
          <w:i/>
          <w:sz w:val="18"/>
          <w:szCs w:val="18"/>
          <w:lang w:val="fr-FR"/>
        </w:rPr>
        <w:t xml:space="preserve"> et continue de maintenir sa position de leader dans les solutions d’électrification et de mobilité dont les véhicules autonomes et les services connectés. Ford emploie environ 1</w:t>
      </w:r>
      <w:r>
        <w:rPr>
          <w:rFonts w:ascii="Arial" w:eastAsia="Arial" w:hAnsi="Arial" w:cs="Arial"/>
          <w:bCs/>
          <w:i/>
          <w:sz w:val="18"/>
          <w:szCs w:val="18"/>
          <w:lang w:val="fr-FR"/>
        </w:rPr>
        <w:t>88</w:t>
      </w:r>
      <w:r w:rsidRPr="001C4C60">
        <w:rPr>
          <w:rFonts w:ascii="Arial" w:eastAsia="Arial" w:hAnsi="Arial" w:cs="Arial"/>
          <w:bCs/>
          <w:i/>
          <w:sz w:val="18"/>
          <w:szCs w:val="18"/>
          <w:lang w:val="fr-FR"/>
        </w:rPr>
        <w:t xml:space="preserve"> 000 employés à travers le monde. Pour plus d’informations sur Ford, ses produits et Ford </w:t>
      </w:r>
      <w:proofErr w:type="spellStart"/>
      <w:r w:rsidRPr="001C4C60">
        <w:rPr>
          <w:rFonts w:ascii="Arial" w:eastAsia="Arial" w:hAnsi="Arial" w:cs="Arial"/>
          <w:bCs/>
          <w:i/>
          <w:sz w:val="18"/>
          <w:szCs w:val="18"/>
          <w:lang w:val="fr-FR"/>
        </w:rPr>
        <w:t>Motor</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Credit</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Company</w:t>
      </w:r>
      <w:proofErr w:type="spellEnd"/>
      <w:r w:rsidRPr="001C4C60">
        <w:rPr>
          <w:rFonts w:ascii="Arial" w:eastAsia="Arial" w:hAnsi="Arial" w:cs="Arial"/>
          <w:bCs/>
          <w:i/>
          <w:sz w:val="18"/>
          <w:szCs w:val="18"/>
          <w:lang w:val="fr-FR"/>
        </w:rPr>
        <w:t>, veuillez visiter</w:t>
      </w:r>
      <w:r>
        <w:rPr>
          <w:rFonts w:ascii="Arial" w:eastAsia="Arial" w:hAnsi="Arial" w:cs="Arial"/>
          <w:bCs/>
          <w:i/>
          <w:sz w:val="18"/>
          <w:szCs w:val="18"/>
          <w:lang w:val="fr-FR"/>
        </w:rPr>
        <w:t> :</w:t>
      </w:r>
      <w:r w:rsidRPr="001C4C60">
        <w:rPr>
          <w:rFonts w:ascii="Arial" w:eastAsia="Arial" w:hAnsi="Arial" w:cs="Arial"/>
          <w:bCs/>
          <w:i/>
          <w:sz w:val="18"/>
          <w:szCs w:val="18"/>
          <w:lang w:val="fr-FR"/>
        </w:rPr>
        <w:t xml:space="preserve"> </w:t>
      </w:r>
      <w:hyperlink r:id="rId7" w:history="1">
        <w:r w:rsidRPr="00C67FD5">
          <w:rPr>
            <w:rStyle w:val="Hyperlink"/>
            <w:rFonts w:ascii="Arial" w:eastAsia="Arial" w:hAnsi="Arial" w:cs="Arial"/>
            <w:bCs/>
            <w:i/>
            <w:sz w:val="18"/>
            <w:szCs w:val="18"/>
            <w:lang w:val="fr-FR"/>
          </w:rPr>
          <w:t>www.corporate.ford.com</w:t>
        </w:r>
      </w:hyperlink>
    </w:p>
    <w:p w14:paraId="23EDD6C3" w14:textId="51A7260E" w:rsidR="008B7266" w:rsidRDefault="001C4C60" w:rsidP="001C4C60">
      <w:pPr>
        <w:rPr>
          <w:rFonts w:ascii="Arial" w:eastAsia="Arial" w:hAnsi="Arial" w:cs="Arial"/>
          <w:bCs/>
          <w:i/>
          <w:sz w:val="18"/>
          <w:szCs w:val="18"/>
          <w:lang w:val="fr-FR"/>
        </w:rPr>
      </w:pPr>
      <w:r w:rsidRPr="001C4C60">
        <w:rPr>
          <w:rFonts w:ascii="Arial" w:eastAsia="Arial" w:hAnsi="Arial" w:cs="Arial"/>
          <w:bCs/>
          <w:i/>
          <w:sz w:val="18"/>
          <w:szCs w:val="18"/>
          <w:lang w:val="fr-FR"/>
        </w:rPr>
        <w:t xml:space="preserve">  </w:t>
      </w:r>
    </w:p>
    <w:p w14:paraId="2A054C5E" w14:textId="77777777" w:rsidR="008B7266" w:rsidRPr="00117D4C" w:rsidRDefault="008B7266" w:rsidP="006B0845">
      <w:pPr>
        <w:rPr>
          <w:rFonts w:ascii="Arial" w:eastAsia="Arial" w:hAnsi="Arial" w:cs="Arial"/>
          <w:bCs/>
          <w:color w:val="0000FF"/>
          <w:sz w:val="18"/>
          <w:szCs w:val="18"/>
          <w:u w:val="single"/>
          <w:lang w:val="fr-FR"/>
        </w:rPr>
      </w:pPr>
    </w:p>
    <w:tbl>
      <w:tblPr>
        <w:tblStyle w:val="a"/>
        <w:tblW w:w="9500" w:type="dxa"/>
        <w:tblInd w:w="0" w:type="dxa"/>
        <w:tblLayout w:type="fixed"/>
        <w:tblLook w:val="0000" w:firstRow="0" w:lastRow="0" w:firstColumn="0" w:lastColumn="0" w:noHBand="0" w:noVBand="0"/>
      </w:tblPr>
      <w:tblGrid>
        <w:gridCol w:w="6204"/>
        <w:gridCol w:w="3296"/>
      </w:tblGrid>
      <w:tr w:rsidR="00B43754" w:rsidRPr="0020491B" w14:paraId="59E7D635" w14:textId="77777777">
        <w:tc>
          <w:tcPr>
            <w:tcW w:w="6204" w:type="dxa"/>
            <w:tcMar>
              <w:top w:w="0" w:type="dxa"/>
              <w:left w:w="108" w:type="dxa"/>
              <w:bottom w:w="0" w:type="dxa"/>
              <w:right w:w="108" w:type="dxa"/>
            </w:tcMar>
          </w:tcPr>
          <w:p w14:paraId="30BC9C48" w14:textId="58A47F38" w:rsidR="00B43754" w:rsidRPr="0020491B" w:rsidRDefault="00C14C1C">
            <w:pPr>
              <w:spacing w:after="160" w:line="259" w:lineRule="auto"/>
              <w:rPr>
                <w:rFonts w:ascii="Arial" w:eastAsia="Arial" w:hAnsi="Arial" w:cs="Arial"/>
                <w:sz w:val="18"/>
                <w:szCs w:val="18"/>
              </w:rPr>
            </w:pPr>
            <w:r w:rsidRPr="0020491B">
              <w:rPr>
                <w:rFonts w:ascii="Arial" w:eastAsia="Arial" w:hAnsi="Arial" w:cs="Arial"/>
                <w:b/>
                <w:sz w:val="18"/>
                <w:szCs w:val="18"/>
              </w:rPr>
              <w:t>Contact:</w:t>
            </w:r>
          </w:p>
        </w:tc>
        <w:tc>
          <w:tcPr>
            <w:tcW w:w="3296" w:type="dxa"/>
            <w:tcMar>
              <w:top w:w="0" w:type="dxa"/>
              <w:left w:w="108" w:type="dxa"/>
              <w:bottom w:w="0" w:type="dxa"/>
              <w:right w:w="108" w:type="dxa"/>
            </w:tcMar>
          </w:tcPr>
          <w:p w14:paraId="4EC44069" w14:textId="77777777" w:rsidR="00B43754" w:rsidRPr="0020491B" w:rsidRDefault="00B43754">
            <w:pPr>
              <w:spacing w:after="160" w:line="259" w:lineRule="auto"/>
              <w:rPr>
                <w:rFonts w:ascii="Arial" w:eastAsia="Arial" w:hAnsi="Arial" w:cs="Arial"/>
                <w:sz w:val="18"/>
                <w:szCs w:val="18"/>
              </w:rPr>
            </w:pPr>
          </w:p>
        </w:tc>
      </w:tr>
      <w:tr w:rsidR="00B43754" w:rsidRPr="00FE600A" w14:paraId="58786277" w14:textId="77777777">
        <w:trPr>
          <w:trHeight w:val="1566"/>
        </w:trPr>
        <w:tc>
          <w:tcPr>
            <w:tcW w:w="6204" w:type="dxa"/>
            <w:tcMar>
              <w:top w:w="0" w:type="dxa"/>
              <w:left w:w="108" w:type="dxa"/>
              <w:bottom w:w="0" w:type="dxa"/>
              <w:right w:w="108" w:type="dxa"/>
            </w:tcMar>
          </w:tcPr>
          <w:p w14:paraId="2E1195D5" w14:textId="77777777" w:rsidR="00B43754" w:rsidRPr="006B0845" w:rsidRDefault="00C14C1C">
            <w:pPr>
              <w:rPr>
                <w:rFonts w:ascii="Arial" w:eastAsia="Arial" w:hAnsi="Arial" w:cs="Arial"/>
                <w:sz w:val="18"/>
                <w:szCs w:val="18"/>
              </w:rPr>
            </w:pPr>
            <w:r w:rsidRPr="006B0845">
              <w:rPr>
                <w:rFonts w:ascii="Arial" w:eastAsia="Arial" w:hAnsi="Arial" w:cs="Arial"/>
                <w:b/>
                <w:sz w:val="18"/>
                <w:szCs w:val="18"/>
              </w:rPr>
              <w:t>Hajar Dinar</w:t>
            </w:r>
          </w:p>
          <w:p w14:paraId="6F7A3A21" w14:textId="5285F36C" w:rsidR="00B43754" w:rsidRPr="00117D4C" w:rsidRDefault="00117D4C">
            <w:pPr>
              <w:rPr>
                <w:rFonts w:ascii="Arial" w:eastAsia="Arial" w:hAnsi="Arial" w:cs="Arial"/>
                <w:sz w:val="18"/>
                <w:szCs w:val="18"/>
              </w:rPr>
            </w:pPr>
            <w:r w:rsidRPr="00117D4C">
              <w:rPr>
                <w:rFonts w:ascii="Arial" w:eastAsia="Arial" w:hAnsi="Arial" w:cs="Arial"/>
                <w:sz w:val="18"/>
                <w:szCs w:val="18"/>
              </w:rPr>
              <w:t>Northern and Sub-Saharan A</w:t>
            </w:r>
            <w:r>
              <w:rPr>
                <w:rFonts w:ascii="Arial" w:eastAsia="Arial" w:hAnsi="Arial" w:cs="Arial"/>
                <w:sz w:val="18"/>
                <w:szCs w:val="18"/>
              </w:rPr>
              <w:t>frica Communications</w:t>
            </w:r>
          </w:p>
          <w:p w14:paraId="3F14EB9D" w14:textId="77D8462E" w:rsidR="00B43754" w:rsidRPr="006B0845" w:rsidRDefault="00C14C1C">
            <w:pPr>
              <w:rPr>
                <w:rFonts w:ascii="Arial" w:eastAsia="Arial" w:hAnsi="Arial" w:cs="Arial"/>
                <w:sz w:val="18"/>
                <w:szCs w:val="18"/>
              </w:rPr>
            </w:pPr>
            <w:r w:rsidRPr="006B0845">
              <w:rPr>
                <w:rFonts w:ascii="Arial" w:eastAsia="Arial" w:hAnsi="Arial" w:cs="Arial"/>
                <w:sz w:val="18"/>
                <w:szCs w:val="18"/>
              </w:rPr>
              <w:t>Ford Direct Markets</w:t>
            </w:r>
          </w:p>
          <w:p w14:paraId="209FC7F8" w14:textId="77777777" w:rsidR="00B43754" w:rsidRPr="006B0845" w:rsidRDefault="00C14C1C">
            <w:pPr>
              <w:rPr>
                <w:rFonts w:ascii="Arial" w:eastAsia="Arial" w:hAnsi="Arial" w:cs="Arial"/>
                <w:sz w:val="18"/>
                <w:szCs w:val="18"/>
              </w:rPr>
            </w:pPr>
            <w:r w:rsidRPr="006B0845">
              <w:rPr>
                <w:rFonts w:ascii="Arial" w:eastAsia="Arial" w:hAnsi="Arial" w:cs="Arial"/>
                <w:sz w:val="18"/>
                <w:szCs w:val="18"/>
              </w:rPr>
              <w:t>+212 666 963 665</w:t>
            </w:r>
          </w:p>
          <w:p w14:paraId="2CC73815" w14:textId="77777777" w:rsidR="00B43754" w:rsidRPr="0020491B" w:rsidRDefault="00C14C1C">
            <w:pPr>
              <w:rPr>
                <w:rFonts w:ascii="Arial" w:eastAsia="Arial" w:hAnsi="Arial" w:cs="Arial"/>
                <w:sz w:val="18"/>
                <w:szCs w:val="18"/>
              </w:rPr>
            </w:pPr>
            <w:r w:rsidRPr="0020491B">
              <w:rPr>
                <w:rFonts w:ascii="Arial" w:eastAsia="Arial" w:hAnsi="Arial" w:cs="Arial"/>
                <w:color w:val="0000FF"/>
                <w:sz w:val="18"/>
                <w:szCs w:val="18"/>
                <w:u w:val="single"/>
              </w:rPr>
              <w:t>hdinar@ford.com</w:t>
            </w:r>
          </w:p>
          <w:p w14:paraId="71BF3FF0" w14:textId="77777777" w:rsidR="00B43754" w:rsidRPr="0020491B" w:rsidRDefault="00B43754">
            <w:pPr>
              <w:rPr>
                <w:rFonts w:ascii="Arial" w:eastAsia="Arial" w:hAnsi="Arial" w:cs="Arial"/>
                <w:sz w:val="18"/>
                <w:szCs w:val="18"/>
              </w:rPr>
            </w:pPr>
          </w:p>
        </w:tc>
        <w:tc>
          <w:tcPr>
            <w:tcW w:w="3296" w:type="dxa"/>
            <w:tcMar>
              <w:top w:w="0" w:type="dxa"/>
              <w:left w:w="108" w:type="dxa"/>
              <w:bottom w:w="0" w:type="dxa"/>
              <w:right w:w="108" w:type="dxa"/>
            </w:tcMar>
          </w:tcPr>
          <w:p w14:paraId="4DDDFE7A" w14:textId="77777777" w:rsidR="00B43754" w:rsidRPr="006B0845" w:rsidRDefault="00B43754" w:rsidP="00117D4C">
            <w:pPr>
              <w:rPr>
                <w:rFonts w:ascii="Arial" w:eastAsia="Arial" w:hAnsi="Arial" w:cs="Arial"/>
                <w:sz w:val="18"/>
                <w:szCs w:val="18"/>
              </w:rPr>
            </w:pPr>
          </w:p>
        </w:tc>
      </w:tr>
    </w:tbl>
    <w:p w14:paraId="1D664866" w14:textId="77777777" w:rsidR="00B43754" w:rsidRPr="006B0845" w:rsidRDefault="00B43754">
      <w:pPr>
        <w:spacing w:after="160" w:line="259" w:lineRule="auto"/>
        <w:rPr>
          <w:rFonts w:ascii="Arial" w:eastAsia="Arial" w:hAnsi="Arial" w:cs="Arial"/>
          <w:b/>
          <w:i/>
          <w:sz w:val="20"/>
          <w:szCs w:val="20"/>
        </w:rPr>
      </w:pPr>
    </w:p>
    <w:sectPr w:rsidR="00B43754" w:rsidRPr="006B0845">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CF1F" w14:textId="77777777" w:rsidR="00626AC6" w:rsidRDefault="00626AC6">
      <w:r>
        <w:separator/>
      </w:r>
    </w:p>
  </w:endnote>
  <w:endnote w:type="continuationSeparator" w:id="0">
    <w:p w14:paraId="13EDA9A8" w14:textId="77777777" w:rsidR="00626AC6" w:rsidRDefault="0062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0020" w14:textId="77777777" w:rsidR="00B43754" w:rsidRDefault="00B43754">
    <w:pPr>
      <w:pBdr>
        <w:top w:val="nil"/>
        <w:left w:val="nil"/>
        <w:bottom w:val="nil"/>
        <w:right w:val="nil"/>
        <w:between w:val="nil"/>
      </w:pBdr>
      <w:tabs>
        <w:tab w:val="center" w:pos="4513"/>
        <w:tab w:val="right" w:pos="9026"/>
      </w:tabs>
      <w:rPr>
        <w:color w:val="000000"/>
      </w:rPr>
    </w:pPr>
  </w:p>
  <w:p w14:paraId="2329CA8E" w14:textId="77777777" w:rsidR="00B43754" w:rsidRPr="00C06F0E" w:rsidRDefault="00C14C1C">
    <w:pPr>
      <w:tabs>
        <w:tab w:val="center" w:pos="4536"/>
        <w:tab w:val="right" w:pos="9072"/>
      </w:tabs>
      <w:spacing w:after="160" w:line="259" w:lineRule="auto"/>
      <w:rPr>
        <w:rFonts w:ascii="Arial" w:eastAsia="Arial" w:hAnsi="Arial" w:cs="Arial"/>
        <w:lang w:val="fr-FR"/>
      </w:rPr>
    </w:pPr>
    <w:r w:rsidRPr="00C06F0E">
      <w:rPr>
        <w:rFonts w:ascii="Arial" w:eastAsia="Arial" w:hAnsi="Arial" w:cs="Arial"/>
        <w:lang w:val="fr-FR"/>
      </w:rPr>
      <w:t xml:space="preserve">Pour les communiqués de presse, les matériels afférents et les photos et vidéos en haute résolution, veuillez visiter : </w:t>
    </w:r>
    <w:r w:rsidR="00626AC6">
      <w:fldChar w:fldCharType="begin"/>
    </w:r>
    <w:r w:rsidR="00626AC6" w:rsidRPr="00394251">
      <w:rPr>
        <w:lang w:val="fr-FR"/>
      </w:rPr>
      <w:instrText xml:space="preserve"> HYPERLINK "http://www.media.ford.com/" \h </w:instrText>
    </w:r>
    <w:r w:rsidR="00626AC6">
      <w:fldChar w:fldCharType="separate"/>
    </w:r>
    <w:r w:rsidRPr="00C06F0E">
      <w:rPr>
        <w:rFonts w:ascii="Arial" w:eastAsia="Arial" w:hAnsi="Arial" w:cs="Arial"/>
        <w:color w:val="0000FF"/>
        <w:u w:val="single"/>
        <w:lang w:val="fr-FR"/>
      </w:rPr>
      <w:t>http://www.media.ford.com/</w:t>
    </w:r>
    <w:r w:rsidR="00626AC6">
      <w:rPr>
        <w:rFonts w:ascii="Arial" w:eastAsia="Arial" w:hAnsi="Arial" w:cs="Arial"/>
        <w:color w:val="0000FF"/>
        <w:u w:val="single"/>
        <w:lang w:val="fr-FR"/>
      </w:rPr>
      <w:fldChar w:fldCharType="end"/>
    </w:r>
  </w:p>
  <w:p w14:paraId="154C780A" w14:textId="77777777" w:rsidR="00B43754" w:rsidRPr="00C06F0E" w:rsidRDefault="00B43754">
    <w:pPr>
      <w:pBdr>
        <w:top w:val="nil"/>
        <w:left w:val="nil"/>
        <w:bottom w:val="nil"/>
        <w:right w:val="nil"/>
        <w:between w:val="nil"/>
      </w:pBdr>
      <w:tabs>
        <w:tab w:val="center" w:pos="4513"/>
        <w:tab w:val="right" w:pos="9026"/>
      </w:tabs>
      <w:jc w:val="center"/>
      <w:rPr>
        <w:lang w:val="fr-FR"/>
      </w:rPr>
    </w:pPr>
    <w:bookmarkStart w:id="3" w:name="_dkztfbze3k59" w:colFirst="0" w:colLast="0"/>
    <w:bookmarkEnd w:id="3"/>
  </w:p>
  <w:p w14:paraId="31A5D1EE" w14:textId="77777777" w:rsidR="00B43754" w:rsidRPr="00C06F0E" w:rsidRDefault="00B43754">
    <w:pPr>
      <w:pBdr>
        <w:top w:val="nil"/>
        <w:left w:val="nil"/>
        <w:bottom w:val="nil"/>
        <w:right w:val="nil"/>
        <w:between w:val="nil"/>
      </w:pBdr>
      <w:tabs>
        <w:tab w:val="center" w:pos="4513"/>
        <w:tab w:val="right" w:pos="9026"/>
      </w:tabs>
      <w:rPr>
        <w:color w:val="00000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F323" w14:textId="77777777" w:rsidR="00B43754" w:rsidRPr="00C06F0E" w:rsidRDefault="00C14C1C">
    <w:pPr>
      <w:tabs>
        <w:tab w:val="center" w:pos="4536"/>
        <w:tab w:val="right" w:pos="9072"/>
      </w:tabs>
      <w:spacing w:after="160" w:line="259" w:lineRule="auto"/>
      <w:rPr>
        <w:rFonts w:ascii="Arial" w:eastAsia="Arial" w:hAnsi="Arial" w:cs="Arial"/>
        <w:lang w:val="fr-FR"/>
      </w:rPr>
    </w:pPr>
    <w:r w:rsidRPr="00C06F0E">
      <w:rPr>
        <w:rFonts w:ascii="Arial" w:eastAsia="Arial" w:hAnsi="Arial" w:cs="Arial"/>
        <w:lang w:val="fr-FR"/>
      </w:rPr>
      <w:t xml:space="preserve">Pour les communiqués de presse, les matériels afférents et les photos et vidéos en haute résolution, veuillez visiter : </w:t>
    </w:r>
    <w:r w:rsidR="00626AC6">
      <w:fldChar w:fldCharType="begin"/>
    </w:r>
    <w:r w:rsidR="00626AC6" w:rsidRPr="00394251">
      <w:rPr>
        <w:lang w:val="fr-FR"/>
      </w:rPr>
      <w:instrText xml:space="preserve"> HYPERLINK "http://www.media.ford.com/" \h </w:instrText>
    </w:r>
    <w:r w:rsidR="00626AC6">
      <w:fldChar w:fldCharType="separate"/>
    </w:r>
    <w:r w:rsidRPr="00C06F0E">
      <w:rPr>
        <w:rFonts w:ascii="Arial" w:eastAsia="Arial" w:hAnsi="Arial" w:cs="Arial"/>
        <w:color w:val="0000FF"/>
        <w:u w:val="single"/>
        <w:lang w:val="fr-FR"/>
      </w:rPr>
      <w:t>http://www.media.ford.com/</w:t>
    </w:r>
    <w:r w:rsidR="00626AC6">
      <w:rPr>
        <w:rFonts w:ascii="Arial" w:eastAsia="Arial" w:hAnsi="Arial" w:cs="Arial"/>
        <w:color w:val="0000FF"/>
        <w:u w:val="single"/>
        <w:lang w:val="fr-FR"/>
      </w:rPr>
      <w:fldChar w:fldCharType="end"/>
    </w:r>
  </w:p>
  <w:p w14:paraId="7A6361E0" w14:textId="77777777" w:rsidR="00B43754" w:rsidRPr="00C06F0E" w:rsidRDefault="00B43754">
    <w:pPr>
      <w:tabs>
        <w:tab w:val="center" w:pos="4513"/>
        <w:tab w:val="right" w:pos="9026"/>
      </w:tabs>
      <w:jc w:val="center"/>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87A5" w14:textId="77777777" w:rsidR="00626AC6" w:rsidRDefault="00626AC6">
      <w:r>
        <w:separator/>
      </w:r>
    </w:p>
  </w:footnote>
  <w:footnote w:type="continuationSeparator" w:id="0">
    <w:p w14:paraId="07EF91E3" w14:textId="77777777" w:rsidR="00626AC6" w:rsidRDefault="0062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A776" w14:textId="44597CED" w:rsidR="00B43754" w:rsidRDefault="00C14C1C">
    <w:pPr>
      <w:tabs>
        <w:tab w:val="left" w:pos="2880"/>
      </w:tabs>
    </w:pPr>
    <w:r>
      <w:rPr>
        <w:rFonts w:ascii="Book Antiqua" w:eastAsia="Book Antiqua" w:hAnsi="Book Antiqua" w:cs="Book Antiqua"/>
        <w:smallCaps/>
        <w:sz w:val="80"/>
        <w:szCs w:val="80"/>
        <w:vertAlign w:val="superscript"/>
      </w:rPr>
      <w:t xml:space="preserve">        N</w:t>
    </w:r>
    <w:r w:rsidRPr="005A730A">
      <w:rPr>
        <w:noProof/>
        <w:sz w:val="20"/>
        <w:szCs w:val="20"/>
      </w:rPr>
      <mc:AlternateContent>
        <mc:Choice Requires="wps">
          <w:drawing>
            <wp:anchor distT="0" distB="0" distL="0" distR="0" simplePos="0" relativeHeight="251658240" behindDoc="0" locked="0" layoutInCell="1" hidden="0" allowOverlap="1" wp14:anchorId="2D0F9F88" wp14:editId="4B67F1F5">
              <wp:simplePos x="0" y="0"/>
              <wp:positionH relativeFrom="column">
                <wp:posOffset>885825</wp:posOffset>
              </wp:positionH>
              <wp:positionV relativeFrom="paragraph">
                <wp:posOffset>-19049</wp:posOffset>
              </wp:positionV>
              <wp:extent cx="139320" cy="354960"/>
              <wp:effectExtent l="0" t="0" r="0" b="0"/>
              <wp:wrapSquare wrapText="bothSides" distT="0" distB="0" distL="0" distR="0"/>
              <wp:docPr id="1" name="Forme libre 1"/>
              <wp:cNvGraphicFramePr/>
              <a:graphic xmlns:a="http://schemas.openxmlformats.org/drawingml/2006/main">
                <a:graphicData uri="http://schemas.microsoft.com/office/word/2010/wordprocessingShape">
                  <wps:wsp>
                    <wps:cNvSpPr/>
                    <wps:spPr>
                      <a:xfrm>
                        <a:off x="5326740" y="3652920"/>
                        <a:ext cx="38520" cy="254160"/>
                      </a:xfrm>
                      <a:custGeom>
                        <a:avLst/>
                        <a:gdLst/>
                        <a:ahLst/>
                        <a:cxnLst/>
                        <a:rect l="l" t="t" r="r" b="b"/>
                        <a:pathLst>
                          <a:path w="21600" h="21600" extrusionOk="0">
                            <a:moveTo>
                              <a:pt x="0" y="0"/>
                            </a:moveTo>
                            <a:lnTo>
                              <a:pt x="21600" y="21600"/>
                            </a:lnTo>
                          </a:path>
                        </a:pathLst>
                      </a:custGeom>
                      <a:noFill/>
                      <a:ln w="12600" cap="flat" cmpd="sng">
                        <a:solidFill>
                          <a:srgbClr val="000000"/>
                        </a:solidFill>
                        <a:prstDash val="solid"/>
                        <a:round/>
                        <a:headEnd type="none" w="sm" len="sm"/>
                        <a:tailEnd type="none" w="sm" len="sm"/>
                      </a:ln>
                    </wps:spPr>
                    <wps:txbx>
                      <w:txbxContent>
                        <w:p w14:paraId="65EE2690" w14:textId="77777777" w:rsidR="00B43754" w:rsidRDefault="00B43754">
                          <w:pPr>
                            <w:textDirection w:val="btLr"/>
                          </w:pPr>
                        </w:p>
                      </w:txbxContent>
                    </wps:txbx>
                    <wps:bodyPr spcFirstLastPara="1" wrap="square" lIns="90000" tIns="45000" rIns="90000" bIns="45000" anchor="t" anchorCtr="0">
                      <a:noAutofit/>
                    </wps:bodyPr>
                  </wps:wsp>
                </a:graphicData>
              </a:graphic>
            </wp:anchor>
          </w:drawing>
        </mc:Choice>
        <mc:Fallback>
          <w:pict>
            <v:shape w14:anchorId="2D0F9F88" id="Forme libre 1" o:spid="_x0000_s1026" style="position:absolute;margin-left:69.75pt;margin-top:-1.5pt;width:10.95pt;height:27.95pt;z-index:251658240;visibility:visible;mso-wrap-style:square;mso-wrap-distance-left:0;mso-wrap-distance-top:0;mso-wrap-distance-right:0;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" adj="-11796480,,5400" path="m,l21600,21600e" filled="f" strokeweight=".35mm">
              <v:stroke startarrowwidth="narrow" startarrowlength="short" endarrowwidth="narrow" endarrowlength="short" joinstyle="round"/>
              <v:formulas/>
              <v:path arrowok="t" o:extrusionok="f" o:connecttype="custom" textboxrect="0,0,21600,21600"/>
              <v:textbox inset="2.5mm,1.25mm,2.5mm,1.25mm">
                <w:txbxContent>
                  <w:p w14:paraId="65EE2690" w14:textId="77777777" w:rsidR="00B43754" w:rsidRDefault="00B43754">
                    <w:pPr>
                      <w:textDirection w:val="btLr"/>
                    </w:pPr>
                  </w:p>
                </w:txbxContent>
              </v:textbox>
              <w10:wrap type="square"/>
            </v:shape>
          </w:pict>
        </mc:Fallback>
      </mc:AlternateContent>
    </w:r>
    <w:r w:rsidRPr="005A730A">
      <w:rPr>
        <w:noProof/>
        <w:sz w:val="20"/>
        <w:szCs w:val="20"/>
      </w:rPr>
      <w:drawing>
        <wp:anchor distT="0" distB="0" distL="0" distR="0" simplePos="0" relativeHeight="251659264" behindDoc="0" locked="0" layoutInCell="1" hidden="0" allowOverlap="1" wp14:anchorId="6DBA1DC4" wp14:editId="1814D946">
          <wp:simplePos x="0" y="0"/>
          <wp:positionH relativeFrom="column">
            <wp:posOffset>0</wp:posOffset>
          </wp:positionH>
          <wp:positionV relativeFrom="paragraph">
            <wp:posOffset>0</wp:posOffset>
          </wp:positionV>
          <wp:extent cx="800100" cy="314325"/>
          <wp:effectExtent l="0" t="0" r="0" b="0"/>
          <wp:wrapSquare wrapText="bothSides" distT="0" distB="0" distL="0" distR="0"/>
          <wp:docPr id="3" name="image1.jpg" descr="Logo_Ford"/>
          <wp:cNvGraphicFramePr/>
          <a:graphic xmlns:a="http://schemas.openxmlformats.org/drawingml/2006/main">
            <a:graphicData uri="http://schemas.openxmlformats.org/drawingml/2006/picture">
              <pic:pic xmlns:pic="http://schemas.openxmlformats.org/drawingml/2006/picture">
                <pic:nvPicPr>
                  <pic:cNvPr id="0" name="image1.jpg" descr="Logo_Ford"/>
                  <pic:cNvPicPr preferRelativeResize="0"/>
                </pic:nvPicPr>
                <pic:blipFill>
                  <a:blip r:embed="rId1"/>
                  <a:srcRect/>
                  <a:stretch>
                    <a:fillRect/>
                  </a:stretch>
                </pic:blipFill>
                <pic:spPr>
                  <a:xfrm>
                    <a:off x="0" y="0"/>
                    <a:ext cx="800100" cy="314325"/>
                  </a:xfrm>
                  <a:prstGeom prst="rect">
                    <a:avLst/>
                  </a:prstGeom>
                  <a:ln/>
                </pic:spPr>
              </pic:pic>
            </a:graphicData>
          </a:graphic>
        </wp:anchor>
      </w:drawing>
    </w:r>
    <w:r w:rsidR="005A730A" w:rsidRPr="005A730A">
      <w:rPr>
        <w:rFonts w:ascii="Book Antiqua" w:eastAsia="Book Antiqua" w:hAnsi="Book Antiqua" w:cs="Book Antiqua"/>
        <w:smallCaps/>
        <w:sz w:val="72"/>
        <w:szCs w:val="72"/>
        <w:vertAlign w:val="superscript"/>
      </w:rPr>
      <w:t>OUVELLE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55EA" w14:textId="77777777" w:rsidR="00B43754" w:rsidRDefault="00C14C1C">
    <w:pPr>
      <w:tabs>
        <w:tab w:val="left" w:pos="1483"/>
        <w:tab w:val="center" w:pos="4513"/>
        <w:tab w:val="right" w:pos="9026"/>
      </w:tabs>
    </w:pPr>
    <w:r>
      <w:rPr>
        <w:noProof/>
      </w:rPr>
      <mc:AlternateContent>
        <mc:Choice Requires="wpg">
          <w:drawing>
            <wp:anchor distT="0" distB="0" distL="114300" distR="114300" simplePos="0" relativeHeight="251660288" behindDoc="0" locked="0" layoutInCell="1" hidden="0" allowOverlap="1" wp14:anchorId="72E009A6" wp14:editId="17DF207D">
              <wp:simplePos x="0" y="0"/>
              <wp:positionH relativeFrom="column">
                <wp:posOffset>1041400</wp:posOffset>
              </wp:positionH>
              <wp:positionV relativeFrom="paragraph">
                <wp:posOffset>63500</wp:posOffset>
              </wp:positionV>
              <wp:extent cx="25400" cy="241300"/>
              <wp:effectExtent l="0" t="0" r="0" b="0"/>
              <wp:wrapNone/>
              <wp:docPr id="2" name="Connecteur droit avec flèche 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63500</wp:posOffset>
              </wp:positionV>
              <wp:extent cx="25400" cy="2413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400" cy="2413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750"/>
    <w:multiLevelType w:val="hybridMultilevel"/>
    <w:tmpl w:val="FD56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5C1A4C"/>
    <w:multiLevelType w:val="hybridMultilevel"/>
    <w:tmpl w:val="F314F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54"/>
    <w:rsid w:val="00006B71"/>
    <w:rsid w:val="000A2193"/>
    <w:rsid w:val="00117D4C"/>
    <w:rsid w:val="001554E5"/>
    <w:rsid w:val="001C4C60"/>
    <w:rsid w:val="001E3FF1"/>
    <w:rsid w:val="0020491B"/>
    <w:rsid w:val="00306803"/>
    <w:rsid w:val="003201AD"/>
    <w:rsid w:val="00394251"/>
    <w:rsid w:val="003B49D3"/>
    <w:rsid w:val="00404306"/>
    <w:rsid w:val="005332C9"/>
    <w:rsid w:val="005A730A"/>
    <w:rsid w:val="006021C9"/>
    <w:rsid w:val="00626AC6"/>
    <w:rsid w:val="006B0845"/>
    <w:rsid w:val="006B61DA"/>
    <w:rsid w:val="007248D2"/>
    <w:rsid w:val="00816E13"/>
    <w:rsid w:val="00880745"/>
    <w:rsid w:val="008B7266"/>
    <w:rsid w:val="00A90FC5"/>
    <w:rsid w:val="00AB476D"/>
    <w:rsid w:val="00AB719B"/>
    <w:rsid w:val="00AC5EFB"/>
    <w:rsid w:val="00AD212F"/>
    <w:rsid w:val="00B0430D"/>
    <w:rsid w:val="00B13885"/>
    <w:rsid w:val="00B43754"/>
    <w:rsid w:val="00B46684"/>
    <w:rsid w:val="00C06F0E"/>
    <w:rsid w:val="00C14C1C"/>
    <w:rsid w:val="00C3000B"/>
    <w:rsid w:val="00D9669F"/>
    <w:rsid w:val="00E67DAE"/>
    <w:rsid w:val="00E86F71"/>
    <w:rsid w:val="00F2510A"/>
    <w:rsid w:val="00F500B7"/>
    <w:rsid w:val="00F7527E"/>
    <w:rsid w:val="00FE600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6D6D"/>
  <w15:docId w15:val="{45062131-7575-3948-9791-8FC8BD7B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66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69F"/>
    <w:rPr>
      <w:rFonts w:ascii="Times New Roman" w:hAnsi="Times New Roman" w:cs="Times New Roman"/>
      <w:sz w:val="18"/>
      <w:szCs w:val="18"/>
    </w:rPr>
  </w:style>
  <w:style w:type="character" w:styleId="Hyperlink">
    <w:name w:val="Hyperlink"/>
    <w:basedOn w:val="DefaultParagraphFont"/>
    <w:uiPriority w:val="99"/>
    <w:unhideWhenUsed/>
    <w:rsid w:val="00AB719B"/>
    <w:rPr>
      <w:color w:val="0000FF" w:themeColor="hyperlink"/>
      <w:u w:val="single"/>
    </w:rPr>
  </w:style>
  <w:style w:type="character" w:styleId="UnresolvedMention">
    <w:name w:val="Unresolved Mention"/>
    <w:basedOn w:val="DefaultParagraphFont"/>
    <w:uiPriority w:val="99"/>
    <w:semiHidden/>
    <w:unhideWhenUsed/>
    <w:rsid w:val="00AB719B"/>
    <w:rPr>
      <w:color w:val="605E5C"/>
      <w:shd w:val="clear" w:color="auto" w:fill="E1DFDD"/>
    </w:rPr>
  </w:style>
  <w:style w:type="paragraph" w:styleId="ListParagraph">
    <w:name w:val="List Paragraph"/>
    <w:basedOn w:val="Normal"/>
    <w:uiPriority w:val="34"/>
    <w:qFormat/>
    <w:rsid w:val="00FE600A"/>
    <w:pPr>
      <w:ind w:left="720"/>
      <w:contextualSpacing/>
    </w:pPr>
  </w:style>
  <w:style w:type="paragraph" w:styleId="Header">
    <w:name w:val="header"/>
    <w:basedOn w:val="Normal"/>
    <w:link w:val="HeaderChar"/>
    <w:uiPriority w:val="99"/>
    <w:unhideWhenUsed/>
    <w:rsid w:val="007248D2"/>
    <w:pPr>
      <w:tabs>
        <w:tab w:val="center" w:pos="4680"/>
        <w:tab w:val="right" w:pos="9360"/>
      </w:tabs>
    </w:pPr>
  </w:style>
  <w:style w:type="character" w:customStyle="1" w:styleId="HeaderChar">
    <w:name w:val="Header Char"/>
    <w:basedOn w:val="DefaultParagraphFont"/>
    <w:link w:val="Header"/>
    <w:uiPriority w:val="99"/>
    <w:rsid w:val="007248D2"/>
  </w:style>
  <w:style w:type="paragraph" w:styleId="Footer">
    <w:name w:val="footer"/>
    <w:basedOn w:val="Normal"/>
    <w:link w:val="FooterChar"/>
    <w:uiPriority w:val="99"/>
    <w:unhideWhenUsed/>
    <w:rsid w:val="007248D2"/>
    <w:pPr>
      <w:tabs>
        <w:tab w:val="center" w:pos="4680"/>
        <w:tab w:val="right" w:pos="9360"/>
      </w:tabs>
    </w:pPr>
  </w:style>
  <w:style w:type="character" w:customStyle="1" w:styleId="FooterChar">
    <w:name w:val="Footer Char"/>
    <w:basedOn w:val="DefaultParagraphFont"/>
    <w:link w:val="Footer"/>
    <w:uiPriority w:val="99"/>
    <w:rsid w:val="0072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porate.fo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 Hajar (H.)</dc:creator>
  <cp:lastModifiedBy>Hajar Dinar</cp:lastModifiedBy>
  <cp:revision>20</cp:revision>
  <dcterms:created xsi:type="dcterms:W3CDTF">2020-04-16T09:48:00Z</dcterms:created>
  <dcterms:modified xsi:type="dcterms:W3CDTF">2020-05-28T14:38:00Z</dcterms:modified>
</cp:coreProperties>
</file>